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84"/>
        <w:gridCol w:w="5841"/>
      </w:tblGrid>
      <w:tr>
        <w:trPr>
          <w:trHeight w:val="1530"/>
        </w:trPr>
        <w:tc>
          <w:tcPr>
            <w:tcW w:w="3184" w:type="dxa"/>
            <w:tcBorders>
              <w:top w:val="nil"/>
              <w:left w:val="nil"/>
              <w:bottom w:val="nil"/>
              <w:right w:val="nil"/>
            </w:tcBorders>
            <w:tcMar>
              <w:top w:w="0" w:type="dxa"/>
              <w:left w:w="100" w:type="dxa"/>
              <w:bottom w:w="0" w:type="dxa"/>
              <w:right w:w="10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ỦY BAN NHÂN DÂN</w:t>
            </w:r>
          </w:p>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noProof/>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507365</wp:posOffset>
                      </wp:positionH>
                      <wp:positionV relativeFrom="paragraph">
                        <wp:posOffset>198120</wp:posOffset>
                      </wp:positionV>
                      <wp:extent cx="882650" cy="6350"/>
                      <wp:effectExtent l="0" t="0" r="31750" b="31750"/>
                      <wp:wrapNone/>
                      <wp:docPr id="1" name="Straight Connector 1"/>
                      <wp:cNvGraphicFramePr/>
                      <a:graphic xmlns:a="http://schemas.openxmlformats.org/drawingml/2006/main">
                        <a:graphicData uri="http://schemas.microsoft.com/office/word/2010/wordprocessingShape">
                          <wps:wsp>
                            <wps:cNvCnPr/>
                            <wps:spPr>
                              <a:xfrm>
                                <a:off x="0" y="0"/>
                                <a:ext cx="8826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95pt,15.6pt" to="109.4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" strokecolor="black [3040]"/>
                  </w:pict>
                </mc:Fallback>
              </mc:AlternateContent>
            </w:r>
            <w:r>
              <w:rPr>
                <w:rFonts w:ascii="Times New Roman" w:eastAsia="Times New Roman" w:hAnsi="Times New Roman" w:cs="Times New Roman"/>
                <w:b/>
                <w:bCs/>
                <w:sz w:val="26"/>
                <w:szCs w:val="26"/>
              </w:rPr>
              <w:t>XÃ CẨM XUYÊN</w:t>
            </w:r>
          </w:p>
          <w:p>
            <w:p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tc>
        <w:tc>
          <w:tcPr>
            <w:tcW w:w="5841" w:type="dxa"/>
            <w:tcBorders>
              <w:top w:val="nil"/>
              <w:left w:val="nil"/>
              <w:bottom w:val="nil"/>
              <w:right w:val="nil"/>
            </w:tcBorders>
            <w:tcMar>
              <w:top w:w="0" w:type="dxa"/>
              <w:left w:w="100" w:type="dxa"/>
              <w:bottom w:w="0" w:type="dxa"/>
              <w:right w:w="100" w:type="dxa"/>
            </w:tcMar>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CỘNG HÒA XÃ HỘI CHỦ NGHĨA  VIỆT NAM</w:t>
            </w:r>
          </w:p>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noProof/>
                <w:sz w:val="26"/>
                <w:szCs w:val="26"/>
                <w:lang w:val="en-US"/>
              </w:rPr>
              <mc:AlternateContent>
                <mc:Choice Requires="wps">
                  <w:drawing>
                    <wp:anchor distT="0" distB="0" distL="114300" distR="114300" simplePos="0" relativeHeight="251660288" behindDoc="0" locked="0" layoutInCell="1" allowOverlap="1">
                      <wp:simplePos x="0" y="0"/>
                      <wp:positionH relativeFrom="column">
                        <wp:posOffset>835025</wp:posOffset>
                      </wp:positionH>
                      <wp:positionV relativeFrom="paragraph">
                        <wp:posOffset>198120</wp:posOffset>
                      </wp:positionV>
                      <wp:extent cx="18732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1873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75pt,15.6pt" to="213.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" strokecolor="black [3040]"/>
                  </w:pict>
                </mc:Fallback>
              </mc:AlternateContent>
            </w:r>
            <w:r>
              <w:rPr>
                <w:rFonts w:ascii="Times New Roman" w:eastAsia="Times New Roman" w:hAnsi="Times New Roman" w:cs="Times New Roman"/>
                <w:b/>
                <w:bCs/>
                <w:sz w:val="26"/>
                <w:szCs w:val="26"/>
              </w:rPr>
              <w:t>Độc lập -Tự do – Hạnh phúc</w:t>
            </w:r>
          </w:p>
          <w:p>
            <w:pPr>
              <w:spacing w:after="200"/>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 </w:t>
            </w:r>
          </w:p>
          <w:p>
            <w:pPr>
              <w:spacing w:after="200"/>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Cẩm Xuyên, ngày 01 tháng 10 năm 2026</w:t>
            </w:r>
          </w:p>
        </w:tc>
      </w:tr>
    </w:tbl>
    <w:p>
      <w:pPr>
        <w:spacing w:before="320"/>
        <w:ind w:right="-4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CHƯƠNG TRÌNH CÔNG TÁC THÁNG 10 NĂM 2026</w:t>
      </w:r>
    </w:p>
    <w:p>
      <w:pPr>
        <w:spacing w:line="375" w:lineRule="auto"/>
        <w:ind w:left="2740" w:right="260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w:t>
      </w:r>
    </w:p>
    <w:p>
      <w:pPr>
        <w:spacing w:line="375" w:lineRule="auto"/>
        <w:ind w:left="2740" w:right="26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pPr>
        <w:spacing w:line="268"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ab/>
        <w:t>I. MỘT SỐ NỘI DUNG CÔNG TÁC TRỌNG TÂM</w:t>
      </w:r>
    </w:p>
    <w:p>
      <w:pPr>
        <w:spacing w:line="26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Tập trung chỉ đạo sản xuất vụ Đông năm 2026; rà soát, đánh giá hộ nghèo, hộ cận nghèo; đẩy nhanh tiến độ thực hiện và giải ngân các Chương trình mục tiêu quốc gia, nhất là các mô hình sinh kế, giảm nghèo bền vững.</w:t>
      </w:r>
      <w:r>
        <w:rPr>
          <w:rFonts w:ascii="Times New Roman" w:eastAsia="Times New Roman" w:hAnsi="Times New Roman" w:cs="Times New Roman"/>
        </w:rPr>
        <w:t xml:space="preserve"> </w:t>
      </w:r>
      <w:r>
        <w:rPr>
          <w:rFonts w:ascii="Times New Roman" w:eastAsia="Times New Roman" w:hAnsi="Times New Roman" w:cs="Times New Roman"/>
          <w:sz w:val="28"/>
          <w:szCs w:val="28"/>
        </w:rPr>
        <w:t>chủ động phương án phòng, chống thiên tai, tìm kiếm cứu nạn trong mùa mưa bão.</w:t>
      </w:r>
    </w:p>
    <w:p>
      <w:pPr>
        <w:spacing w:line="26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Tập trung thực hiện các nhiệm vụ phát triển kinh tế - xã hội những tháng cuối năm; đẩy mạnh thu ngân sách, giải ngân vốn đầu tư công, tháo gỡ khó khăn, đẩy nhanh tiến độ các công trình, dự án.</w:t>
      </w:r>
    </w:p>
    <w:p>
      <w:pPr>
        <w:spacing w:line="26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Tăng cường quản lý đất đai, tài nguyên, môi trường; đẩy nhanh cấp Giấy chứng nhận quyền sử dụng đất, hoàn thiện, làm sạch dữ liệu đất đai; thực hiện các nhiệm vụ liên quan đến đấu giá quyền sử dụng đất.</w:t>
      </w:r>
    </w:p>
    <w:p>
      <w:pPr>
        <w:spacing w:line="26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Tăng cường tuyên truyền, tổ chức các hoạt động văn hóa, thể thao, du lịch; Chỉ đạo các trường học thực hiện nhiệm vụ năm học 2026-2027; tăng cường quản lý dạy và học, công tác bán trú, các khoản thu, bảo đảm an toàn trường học và các điều kiện phục vụ dạy học. Tăng cường công tác phòng, chống dịch bệnh, bảo đảm an toàn thực phẩm, chăm sóc sức khỏe Nhân dân; tiếp tục cập nhật, làm sạch Sổ Sức khỏe điện tử và các cơ sở dữ liệu y tế; thực hiện đầy đủ các chính sách an sinh xã hội.</w:t>
      </w:r>
    </w:p>
    <w:p>
      <w:pPr>
        <w:spacing w:line="268" w:lineRule="auto"/>
        <w:ind w:right="2"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Đẩy mạnh cải cách hành chính, chuyển đổi số, Đề án 06; hoàn thành các nhiệm vụ CCHC, chuyển đổi số trọng tâm quý IV/2026, nâng cao chất lượng giải quyết thủ tục hành chính; thực hiện các nhiệm vụ Nghị quyết số 57-NQ/TW, i-HaTinh, “Bình dân học vụ số” và bảo đảm an toàn thông tin.</w:t>
      </w:r>
    </w:p>
    <w:p>
      <w:pPr>
        <w:spacing w:line="26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8"/>
          <w:szCs w:val="28"/>
        </w:rPr>
        <w:t>Giữ vững an ninh chính trị, trật tự an toàn xã hội; thực hiện tốt công tác quốc phòng, quân sự địa phương, phòng cháy, chữa cháy; rà soát nguồn công dân sẵn sàng nhập ngũ năm 2027. Nâng cao chất lượng tiếp công dân, giải quyết đơn thư, phản ánh, kiến nghị và tăng cường kỷ luật, kỷ cương hành chính.</w:t>
      </w:r>
    </w:p>
    <w:p>
      <w:pPr>
        <w:spacing w:line="268" w:lineRule="auto"/>
        <w:ind w:firstLine="720"/>
        <w:jc w:val="both"/>
        <w:rPr>
          <w:rFonts w:ascii="Times New Roman" w:eastAsia="Times New Roman" w:hAnsi="Times New Roman" w:cs="Times New Roman"/>
          <w:b/>
          <w:bCs/>
          <w:sz w:val="26"/>
          <w:szCs w:val="26"/>
        </w:rPr>
      </w:pPr>
    </w:p>
    <w:p>
      <w:pPr>
        <w:spacing w:line="268" w:lineRule="auto"/>
        <w:ind w:firstLine="720"/>
        <w:jc w:val="both"/>
        <w:rPr>
          <w:rFonts w:ascii="Times New Roman" w:eastAsia="Times New Roman" w:hAnsi="Times New Roman" w:cs="Times New Roman"/>
          <w:b/>
          <w:bCs/>
          <w:sz w:val="26"/>
          <w:szCs w:val="26"/>
        </w:rPr>
      </w:pPr>
    </w:p>
    <w:p>
      <w:pPr>
        <w:spacing w:line="268" w:lineRule="auto"/>
        <w:ind w:firstLine="720"/>
        <w:jc w:val="both"/>
        <w:rPr>
          <w:rFonts w:ascii="Times New Roman" w:eastAsia="Times New Roman" w:hAnsi="Times New Roman" w:cs="Times New Roman"/>
          <w:b/>
          <w:bCs/>
          <w:sz w:val="26"/>
          <w:szCs w:val="26"/>
        </w:rPr>
      </w:pPr>
    </w:p>
    <w:p>
      <w:pPr>
        <w:spacing w:line="268" w:lineRule="auto"/>
        <w:ind w:firstLine="720"/>
        <w:jc w:val="both"/>
        <w:rPr>
          <w:rFonts w:ascii="Times New Roman" w:eastAsia="Times New Roman" w:hAnsi="Times New Roman" w:cs="Times New Roman"/>
          <w:b/>
          <w:bCs/>
          <w:sz w:val="26"/>
          <w:szCs w:val="26"/>
        </w:rPr>
      </w:pPr>
    </w:p>
    <w:p>
      <w:pPr>
        <w:spacing w:line="268" w:lineRule="auto"/>
        <w:ind w:firstLine="720"/>
        <w:jc w:val="both"/>
        <w:rPr>
          <w:rFonts w:ascii="Times New Roman" w:eastAsia="Times New Roman" w:hAnsi="Times New Roman" w:cs="Times New Roman"/>
          <w:b/>
          <w:bCs/>
          <w:sz w:val="26"/>
          <w:szCs w:val="26"/>
        </w:rPr>
      </w:pPr>
    </w:p>
    <w:p>
      <w:pPr>
        <w:spacing w:line="268"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DỰ KIẾN CHƯƠNG TRÌNH CÔNG TÁC</w:t>
      </w:r>
    </w:p>
    <w:tbl>
      <w:tblPr>
        <w:tblStyle w:val="a0"/>
        <w:tblW w:w="9639"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405"/>
        <w:gridCol w:w="1335"/>
        <w:gridCol w:w="4544"/>
        <w:gridCol w:w="569"/>
        <w:gridCol w:w="1335"/>
        <w:gridCol w:w="1231"/>
        <w:gridCol w:w="128"/>
        <w:gridCol w:w="92"/>
      </w:tblGrid>
      <w:tr>
        <w:trPr>
          <w:gridAfter w:val="1"/>
          <w:wAfter w:w="92" w:type="dxa"/>
          <w:trHeight w:val="750"/>
        </w:trPr>
        <w:tc>
          <w:tcPr>
            <w:tcW w:w="174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pPr>
              <w:spacing w:before="220"/>
              <w:ind w:right="4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Thứ, ngày</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10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công việc</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Chuẩn bị, tham gia</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 w:right="-14"/>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Địa điểm</w:t>
            </w:r>
          </w:p>
        </w:tc>
      </w:tr>
      <w:tr>
        <w:trPr>
          <w:gridAfter w:val="1"/>
          <w:wAfter w:w="92" w:type="dxa"/>
          <w:trHeight w:val="8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Năm</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01</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lang w:val="en-US"/>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Chào cờ Tháng 10</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TT Đảng ủy</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HT Liên cơ</w:t>
            </w:r>
          </w:p>
        </w:tc>
      </w:tr>
      <w:tr>
        <w:trPr>
          <w:gridAfter w:val="1"/>
          <w:wAfter w:w="92" w:type="dxa"/>
          <w:trHeight w:val="73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t>- Làm việc với các nhà mạng về thống nhất các điểm trạm BTS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gridAfter w:val="1"/>
          <w:wAfter w:w="92" w:type="dxa"/>
          <w:trHeight w:val="99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Hội nghị tập huấn các quy định của Luật Hoà giải cơ sở, Bộ luật Dân sự, Luật Dân chủ cơ sở,  Luật Hộ tịch sửa đổi</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gridAfter w:val="1"/>
          <w:wAfter w:w="92" w:type="dxa"/>
          <w:trHeight w:val="73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left="14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Họp giao ban BCĐ Bảo hiểm YT, BHXH</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gridAfter w:val="1"/>
          <w:wAfter w:w="92" w:type="dxa"/>
          <w:trHeight w:val="73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Sáu</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02</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Họp hội đồng nghĩa vụ quân sự xã</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gridAfter w:val="1"/>
          <w:wAfter w:w="92" w:type="dxa"/>
          <w:trHeight w:val="73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sz w:val="26"/>
                <w:szCs w:val="26"/>
              </w:rPr>
              <w:t xml:space="preserve">: -  </w:t>
            </w:r>
            <w:r>
              <w:rPr>
                <w:rFonts w:ascii="Times New Roman" w:eastAsia="Times New Roman" w:hAnsi="Times New Roman" w:cs="Times New Roman"/>
                <w:sz w:val="26"/>
                <w:szCs w:val="26"/>
              </w:rPr>
              <w:t>Sơ kết CCHC 9 tháng đầu năm</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gridAfter w:val="1"/>
          <w:wAfter w:w="92" w:type="dxa"/>
          <w:trHeight w:val="736"/>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Gặp mặt nhân kỷ niệm 81 năm ngày Doanh nhân Việt Nam và tập huấn cập nhật chính sách thuế và pháp luật doanh nghiệp</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gridAfter w:val="1"/>
          <w:wAfter w:w="92" w:type="dxa"/>
          <w:trHeight w:val="73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Bảy</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03</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73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Chủ nhật</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04</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82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Hai</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05</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Lãnh đạo UBND xã tiếp công dân định kỳ</w:t>
            </w:r>
            <w:bookmarkStart w:id="0" w:name="_GoBack"/>
            <w:bookmarkEnd w:id="0"/>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VP HĐND-UBND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Trụ sở TCD</w:t>
            </w:r>
          </w:p>
        </w:tc>
      </w:tr>
      <w:tr>
        <w:trPr>
          <w:gridAfter w:val="1"/>
          <w:wAfter w:w="92" w:type="dxa"/>
          <w:trHeight w:val="82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Làm việc xử lý quyết toán dự án Di dời đường dây 110kV GPMB cao tốc Bắc Nam</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PH Tầng 2 UBND</w:t>
            </w:r>
          </w:p>
        </w:tc>
      </w:tr>
      <w:tr>
        <w:trPr>
          <w:gridAfter w:val="1"/>
          <w:wAfter w:w="92" w:type="dxa"/>
          <w:trHeight w:val="82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Thứ Ba</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06</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PH Tầng 2 UBND</w:t>
            </w:r>
          </w:p>
        </w:tc>
      </w:tr>
      <w:tr>
        <w:trPr>
          <w:gridAfter w:val="1"/>
          <w:wAfter w:w="92" w:type="dxa"/>
          <w:trHeight w:val="82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Tập huấn phổ biến  quy định, chính sách, NCC năm 2026</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Tư</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07</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Làm việc với BCH Hội doang nghiệp chuẩn bị ngày Doanh nghiệp Việt Nam</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xã, 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họp </w:t>
            </w:r>
            <w:r>
              <w:rPr>
                <w:rFonts w:ascii="Times New Roman" w:eastAsia="Times New Roman" w:hAnsi="Times New Roman" w:cs="Times New Roman"/>
                <w:sz w:val="26"/>
                <w:szCs w:val="26"/>
                <w:lang w:val="en-US"/>
              </w:rPr>
              <w:t>T</w:t>
            </w:r>
            <w:r>
              <w:rPr>
                <w:rFonts w:ascii="Times New Roman" w:eastAsia="Times New Roman" w:hAnsi="Times New Roman" w:cs="Times New Roman"/>
                <w:sz w:val="26"/>
                <w:szCs w:val="26"/>
              </w:rPr>
              <w:t xml:space="preserve">ầng 3 </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Làm việc với các dự án đầu tư công chậm tiến độ</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Lãnh đạo UBND xã, 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họp tầng 3 </w:t>
            </w:r>
          </w:p>
        </w:tc>
      </w:tr>
      <w:tr>
        <w:trPr>
          <w:gridAfter w:val="1"/>
          <w:wAfter w:w="92" w:type="dxa"/>
          <w:trHeight w:val="55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Năm</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08</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PH Tầng 2 UBND</w:t>
            </w:r>
          </w:p>
        </w:tc>
      </w:tr>
      <w:tr>
        <w:trPr>
          <w:gridAfter w:val="1"/>
          <w:wAfter w:w="92" w:type="dxa"/>
          <w:trHeight w:val="69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w:t>
            </w:r>
            <w:r>
              <w:rPr>
                <w:rFonts w:ascii="Times New Roman" w:eastAsia="Times New Roman" w:hAnsi="Times New Roman" w:cs="Times New Roman"/>
                <w:sz w:val="26"/>
                <w:szCs w:val="26"/>
              </w:rPr>
              <w:t xml:space="preserve"> Triển khai công tác bình xét gia đình văn hóa, thôn văn hóa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gridAfter w:val="1"/>
          <w:wAfter w:w="92" w:type="dxa"/>
          <w:trHeight w:val="55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Sáu</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09</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bCs/>
                <w:iCs/>
                <w:sz w:val="26"/>
                <w:szCs w:val="26"/>
              </w:rPr>
              <w:t>Họp giải quyết đơn thư</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Phòng KT</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PH Tầng 2 UBND</w:t>
            </w:r>
          </w:p>
        </w:tc>
      </w:tr>
      <w:tr>
        <w:trPr>
          <w:gridAfter w:val="1"/>
          <w:wAfter w:w="92" w:type="dxa"/>
          <w:trHeight w:val="69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Tổ chức ra mắt mô hình “ Nhà văn hóa thôn, điểm hỗ trợ dịch vụ công và các tiện ích số’ tại thôn Vĩnh Phú</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NVH Thôn Vĩnh Phú</w:t>
            </w:r>
          </w:p>
        </w:tc>
      </w:tr>
      <w:tr>
        <w:trPr>
          <w:gridAfter w:val="1"/>
          <w:wAfter w:w="92" w:type="dxa"/>
          <w:trHeight w:val="70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Bảy</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690"/>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Chủ nhật</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Hai</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Kiểm tra các mô hình sản xuất, chăn nuôi liên kết</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các thôn </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Họp rà soát làm giàu, làm sạch đất đai</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PH Tầng 2 UBND</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Ba</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PH Tầng 2 UBND</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Làm việc với các trường đối với khoản thu dịch vụ theo NĐ 107</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Tư</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PH Tầng 2 UBND</w:t>
            </w:r>
          </w:p>
        </w:tc>
      </w:tr>
      <w:tr>
        <w:trPr>
          <w:gridAfter w:val="1"/>
          <w:wAfter w:w="92" w:type="dxa"/>
          <w:trHeight w:val="69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Tổ chức khám sức khỏe cho cán bộ, CC, VC, người lao động</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 Trạm y tế</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Trung tâm y tế</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Năm</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Kiểm tra tiến độ các dự án đầu tư công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Công trình </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Kiểm tra các cở sở giáo dục tư thục trên địa bàn xã</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cơ sở GD tư thục</w:t>
            </w:r>
          </w:p>
        </w:tc>
      </w:tr>
      <w:tr>
        <w:trPr>
          <w:gridAfter w:val="1"/>
          <w:wAfter w:w="92" w:type="dxa"/>
          <w:trHeight w:val="76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Sáu</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16</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PH Tầng 2 UBND</w:t>
            </w:r>
          </w:p>
        </w:tc>
      </w:tr>
      <w:tr>
        <w:trPr>
          <w:gridAfter w:val="1"/>
          <w:wAfter w:w="92" w:type="dxa"/>
          <w:trHeight w:val="76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Phối hợp tổ chức phiên giao dịch việc làm</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HT Liên cơ</w:t>
            </w:r>
          </w:p>
        </w:tc>
      </w:tr>
      <w:tr>
        <w:trPr>
          <w:gridAfter w:val="1"/>
          <w:wAfter w:w="92" w:type="dxa"/>
          <w:trHeight w:val="76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Bảy</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17</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76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Chủ nhật</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76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Hai</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w:t>
            </w:r>
            <w:r>
              <w:rPr>
                <w:rFonts w:ascii="Times New Roman" w:eastAsia="Times New Roman" w:hAnsi="Times New Roman" w:cs="Times New Roman"/>
                <w:sz w:val="26"/>
                <w:szCs w:val="26"/>
              </w:rPr>
              <w:t xml:space="preserve"> Họp rà soát các thực trạng các tiêu chí trong Nông thôn mới xã</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Phòng KT, 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PH Tầng 2 UBND</w:t>
            </w:r>
          </w:p>
        </w:tc>
      </w:tr>
      <w:tr>
        <w:trPr>
          <w:gridAfter w:val="1"/>
          <w:wAfter w:w="92" w:type="dxa"/>
          <w:trHeight w:val="76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Họp Hội đồng thi đua khen thưởng về nội dung sáng kiến kinh nghiệm</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 Tầng 3 UBND</w:t>
            </w:r>
          </w:p>
        </w:tc>
      </w:tr>
      <w:tr>
        <w:trPr>
          <w:gridAfter w:val="1"/>
          <w:wAfter w:w="92" w:type="dxa"/>
          <w:trHeight w:val="76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Ba</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Lãnh đạo UBND xã tiếp công dân định kỳ</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VP HĐND-UBND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Trụ sở TCD</w:t>
            </w:r>
          </w:p>
        </w:tc>
      </w:tr>
      <w:tr>
        <w:trPr>
          <w:gridAfter w:val="1"/>
          <w:wAfter w:w="92" w:type="dxa"/>
          <w:trHeight w:val="76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Tư</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Họp công tác GPMB các dự án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Phòng KT, 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75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Năm</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Họp giải quyết các trường hợp vướng mắc về đất đai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Phòng KT, 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75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69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Sáu</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Kiểm tra, chấn chỉnh các hoạt động VH, kinh doanh dịch vụ văn hóa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cơ sở KD DVVH</w:t>
            </w:r>
          </w:p>
        </w:tc>
      </w:tr>
      <w:tr>
        <w:trPr>
          <w:gridAfter w:val="1"/>
          <w:wAfter w:w="92" w:type="dxa"/>
          <w:trHeight w:val="69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PH Tầng 2 UBND</w:t>
            </w:r>
          </w:p>
        </w:tc>
      </w:tr>
      <w:tr>
        <w:trPr>
          <w:gridAfter w:val="1"/>
          <w:wAfter w:w="92" w:type="dxa"/>
          <w:trHeight w:val="76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Bảy</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61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Chủ nhật</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2" w:type="dxa"/>
          <w:trHeight w:val="57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Hai</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Kiểm tra tiến độ các dự án đầu tư công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Công trình </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PH Tầng 2 UBND</w:t>
            </w:r>
          </w:p>
        </w:tc>
      </w:tr>
      <w:tr>
        <w:trPr>
          <w:gridAfter w:val="1"/>
          <w:wAfter w:w="92" w:type="dxa"/>
          <w:trHeight w:val="540"/>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Ba</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 xml:space="preserve">Kiểm tra tiến độ giải quyết kiến nghị cử tri </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Phòng KT, Lãnh đạo UBND</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Hiện trường </w:t>
            </w:r>
          </w:p>
        </w:tc>
      </w:tr>
      <w:tr>
        <w:trPr>
          <w:gridAfter w:val="1"/>
          <w:wAfter w:w="92" w:type="dxa"/>
          <w:trHeight w:val="54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PH Tầng 2 UBND</w:t>
            </w:r>
          </w:p>
        </w:tc>
      </w:tr>
      <w:tr>
        <w:trPr>
          <w:gridAfter w:val="1"/>
          <w:wAfter w:w="92" w:type="dxa"/>
          <w:trHeight w:val="58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Tư</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28</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Kiểm tra khuyến nông, nông nghiệp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ind w:left="141"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Phòng KT, Lãnh đạo UBND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Các thôn </w:t>
            </w:r>
          </w:p>
        </w:tc>
      </w:tr>
      <w:tr>
        <w:trPr>
          <w:gridAfter w:val="1"/>
          <w:wAfter w:w="92" w:type="dxa"/>
          <w:trHeight w:val="58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58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Năm</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Đánh giá kết quả rà soát hộ nghèo, cận nghèo 2026</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585"/>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Xử lý đơn thư trên địa bàn</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KT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585"/>
        </w:trPr>
        <w:tc>
          <w:tcPr>
            <w:tcW w:w="174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Sáu</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30</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u w:val="single"/>
              </w:rPr>
              <w:t>Sáng</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sz w:val="26"/>
                <w:szCs w:val="26"/>
              </w:rPr>
              <w:t>Họp rà soát xử lý cơ sở nhà đất dôi dư</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Phòng KT, Lãnh đạo UBND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jc w:val="center"/>
            </w:pPr>
            <w:r>
              <w:rPr>
                <w:rFonts w:ascii="Times New Roman" w:eastAsia="Times New Roman" w:hAnsi="Times New Roman" w:cs="Times New Roman"/>
                <w:sz w:val="26"/>
                <w:szCs w:val="26"/>
                <w:lang w:val="en-US"/>
              </w:rPr>
              <w:t>PH Tầng 2 UBND</w:t>
            </w:r>
          </w:p>
        </w:tc>
      </w:tr>
      <w:tr>
        <w:trPr>
          <w:gridAfter w:val="1"/>
          <w:wAfter w:w="92" w:type="dxa"/>
          <w:trHeight w:val="690"/>
        </w:trPr>
        <w:tc>
          <w:tcPr>
            <w:tcW w:w="1740" w:type="dxa"/>
            <w:gridSpan w:val="2"/>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28" w:firstLine="75"/>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u w:val="single"/>
              </w:rPr>
              <w:t>Chiều</w:t>
            </w:r>
            <w:r>
              <w:rPr>
                <w:rFonts w:ascii="Times New Roman" w:eastAsia="Times New Roman" w:hAnsi="Times New Roman" w:cs="Times New Roman"/>
                <w:b/>
                <w:bCs/>
                <w:i/>
                <w:iCs/>
                <w:sz w:val="26"/>
                <w:szCs w:val="26"/>
              </w:rPr>
              <w:t xml:space="preserve">: </w:t>
            </w:r>
            <w:r>
              <w:rPr>
                <w:rFonts w:ascii="Times New Roman" w:eastAsia="Times New Roman" w:hAnsi="Times New Roman" w:cs="Times New Roman"/>
                <w:bCs/>
                <w:iCs/>
                <w:sz w:val="26"/>
                <w:szCs w:val="26"/>
              </w:rPr>
              <w:t>Giao ban UBND xã với Bí thư, thôn trưởng đánh giá tình hình thực hiện nhiệm vụ Tháng 10, triển khai nhiệm vụ Tháng 11</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Lãnh đạo UBND</w:t>
            </w:r>
            <w:r>
              <w:rPr>
                <w:rFonts w:ascii="Times New Roman" w:eastAsia="Times New Roman" w:hAnsi="Times New Roman" w:cs="Times New Roman"/>
                <w:sz w:val="26"/>
                <w:szCs w:val="26"/>
              </w:rPr>
              <w:t xml:space="preserve"> </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PH Tầng 3 UBND</w:t>
            </w:r>
          </w:p>
        </w:tc>
      </w:tr>
      <w:tr>
        <w:trPr>
          <w:gridAfter w:val="1"/>
          <w:wAfter w:w="92" w:type="dxa"/>
          <w:trHeight w:val="615"/>
        </w:trPr>
        <w:tc>
          <w:tcPr>
            <w:tcW w:w="174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Thứ Bảy</w:t>
            </w:r>
          </w:p>
          <w:p>
            <w:pPr>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511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1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Kiểm tra, chỉ đạo cơ sở</w:t>
            </w:r>
          </w:p>
        </w:tc>
        <w:tc>
          <w:tcPr>
            <w:tcW w:w="133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80"/>
              <w:ind w:left="141" w:right="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pPr>
              <w:spacing w:before="2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w:t>
            </w:r>
          </w:p>
        </w:tc>
      </w:tr>
      <w:tr>
        <w:trPr>
          <w:gridAfter w:val="1"/>
          <w:wAfter w:w="91" w:type="dxa"/>
          <w:trHeight w:val="3615"/>
        </w:trPr>
        <w:tc>
          <w:tcPr>
            <w:tcW w:w="405" w:type="dxa"/>
            <w:tcBorders>
              <w:top w:val="single" w:sz="4" w:space="0" w:color="auto"/>
              <w:left w:val="nil"/>
              <w:bottom w:val="nil"/>
              <w:right w:val="nil"/>
            </w:tcBorders>
            <w:shd w:val="clear" w:color="auto" w:fill="auto"/>
            <w:tcMar>
              <w:top w:w="0" w:type="dxa"/>
              <w:left w:w="0" w:type="dxa"/>
              <w:bottom w:w="0" w:type="dxa"/>
              <w:right w:w="0" w:type="dxa"/>
            </w:tcMar>
          </w:tcPr>
          <w:p>
            <w:pPr>
              <w:ind w:left="-58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5880" w:type="dxa"/>
            <w:gridSpan w:val="2"/>
            <w:tcBorders>
              <w:top w:val="single" w:sz="4" w:space="0" w:color="auto"/>
              <w:left w:val="nil"/>
              <w:bottom w:val="nil"/>
              <w:right w:val="nil"/>
            </w:tcBorders>
            <w:shd w:val="clear" w:color="auto" w:fill="auto"/>
            <w:tcMar>
              <w:top w:w="0" w:type="dxa"/>
              <w:left w:w="0" w:type="dxa"/>
              <w:bottom w:w="0" w:type="dxa"/>
              <w:right w:w="0" w:type="dxa"/>
            </w:tcMar>
          </w:tcPr>
          <w:p>
            <w:pPr>
              <w:spacing w:line="338"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u w:val="single"/>
              </w:rPr>
              <w:t>Nơi nhận</w:t>
            </w:r>
            <w:r>
              <w:rPr>
                <w:rFonts w:ascii="Times New Roman" w:eastAsia="Times New Roman" w:hAnsi="Times New Roman" w:cs="Times New Roman"/>
                <w:b/>
                <w:bCs/>
                <w:sz w:val="26"/>
                <w:szCs w:val="26"/>
              </w:rPr>
              <w:t>:</w:t>
            </w:r>
          </w:p>
          <w:p>
            <w:pPr>
              <w:spacing w:line="301" w:lineRule="auto"/>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UBND Tỉnh (để báo cáo);</w:t>
            </w:r>
          </w:p>
          <w:p>
            <w:pPr>
              <w:ind w:right="300"/>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 xml:space="preserve"> TT Đảng uỷ; TT HĐND;</w:t>
            </w:r>
          </w:p>
          <w:p>
            <w:pPr>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Chủ tịch, các PCT. UBND xã;</w:t>
            </w:r>
          </w:p>
          <w:p>
            <w:pPr>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Ban XD Đảng, Ủy ban Kiểm tra, Văn phòng Đảng ủy;</w:t>
            </w:r>
          </w:p>
          <w:p>
            <w:pPr>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UBMTTQ và các tổ chức chính trị xã hội cấp xã;</w:t>
            </w:r>
          </w:p>
          <w:p>
            <w:pPr>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Các phòng, TT DVHCH, TTDVTH;</w:t>
            </w:r>
          </w:p>
          <w:p>
            <w:pPr>
              <w:ind w:right="300"/>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Thôn trưởng các thôn;</w:t>
            </w:r>
          </w:p>
          <w:p>
            <w:pPr>
              <w:spacing w:line="279" w:lineRule="auto"/>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6"/>
                <w:szCs w:val="26"/>
              </w:rPr>
              <w:t>Lưu: VT, VP.</w:t>
            </w:r>
          </w:p>
        </w:tc>
        <w:tc>
          <w:tcPr>
            <w:tcW w:w="3135" w:type="dxa"/>
            <w:gridSpan w:val="3"/>
            <w:tcBorders>
              <w:top w:val="single" w:sz="4" w:space="0" w:color="auto"/>
              <w:left w:val="nil"/>
              <w:bottom w:val="nil"/>
              <w:right w:val="nil"/>
            </w:tcBorders>
            <w:shd w:val="clear" w:color="auto" w:fill="auto"/>
            <w:tcMar>
              <w:top w:w="0" w:type="dxa"/>
              <w:left w:w="0" w:type="dxa"/>
              <w:bottom w:w="0" w:type="dxa"/>
              <w:right w:w="0" w:type="dxa"/>
            </w:tcMar>
          </w:tcPr>
          <w:p>
            <w:pPr>
              <w:spacing w:line="344"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UBND XÃ CẨM XUYÊN</w:t>
            </w:r>
          </w:p>
        </w:tc>
        <w:tc>
          <w:tcPr>
            <w:tcW w:w="128" w:type="dxa"/>
            <w:tcBorders>
              <w:top w:val="single" w:sz="4" w:space="0" w:color="auto"/>
              <w:left w:val="nil"/>
              <w:bottom w:val="nil"/>
              <w:right w:val="nil"/>
            </w:tcBorders>
            <w:shd w:val="clear" w:color="auto" w:fill="auto"/>
            <w:tcMar>
              <w:top w:w="0" w:type="dxa"/>
              <w:left w:w="0" w:type="dxa"/>
              <w:bottom w:w="0" w:type="dxa"/>
              <w:right w:w="0" w:type="dxa"/>
            </w:tcMar>
          </w:tcPr>
          <w:p>
            <w:pPr>
              <w:ind w:left="-580"/>
              <w:jc w:val="both"/>
              <w:rPr>
                <w:rFonts w:ascii="Times New Roman" w:eastAsia="Times New Roman" w:hAnsi="Times New Roman" w:cs="Times New Roman"/>
              </w:rPr>
            </w:pPr>
            <w:r>
              <w:rPr>
                <w:rFonts w:ascii="Times New Roman" w:eastAsia="Times New Roman" w:hAnsi="Times New Roman" w:cs="Times New Roman"/>
              </w:rPr>
              <w:t xml:space="preserve"> </w:t>
            </w:r>
          </w:p>
        </w:tc>
      </w:tr>
      <w:tr>
        <w:trPr>
          <w:trHeight w:val="200"/>
        </w:trPr>
        <w:tc>
          <w:tcPr>
            <w:tcW w:w="405" w:type="dxa"/>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1335" w:type="dxa"/>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4545" w:type="dxa"/>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569" w:type="dxa"/>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1335" w:type="dxa"/>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1230" w:type="dxa"/>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c>
          <w:tcPr>
            <w:tcW w:w="220" w:type="dxa"/>
            <w:gridSpan w:val="2"/>
            <w:tcBorders>
              <w:top w:val="nil"/>
              <w:left w:val="nil"/>
              <w:bottom w:val="nil"/>
              <w:right w:val="nil"/>
            </w:tcBorders>
            <w:shd w:val="clear" w:color="auto" w:fill="auto"/>
            <w:tcMar>
              <w:top w:w="100" w:type="dxa"/>
              <w:left w:w="100" w:type="dxa"/>
              <w:bottom w:w="100" w:type="dxa"/>
              <w:right w:w="100" w:type="dxa"/>
            </w:tcMar>
          </w:tcPr>
          <w:p>
            <w:pPr>
              <w:ind w:left="-580"/>
              <w:jc w:val="both"/>
              <w:rPr>
                <w:rFonts w:ascii="Times New Roman" w:eastAsia="Times New Roman" w:hAnsi="Times New Roman" w:cs="Times New Roman"/>
              </w:rPr>
            </w:pPr>
          </w:p>
        </w:tc>
      </w:tr>
    </w:tbl>
    <w:p>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sectPr>
      <w:pgSz w:w="11909" w:h="16834"/>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embedRegular r:id="rId1" w:fontKey="{1A02766F-5E05-4103-9C91-4F42A70E7D9A}"/>
  </w:font>
  <w:font w:name="Cambria">
    <w:panose1 w:val="02040503050406030204"/>
    <w:charset w:val="A3"/>
    <w:family w:val="roman"/>
    <w:pitch w:val="variable"/>
    <w:sig w:usb0="E00006FF" w:usb1="420024FF" w:usb2="02000000" w:usb3="00000000" w:csb0="0000019F" w:csb1="00000000"/>
    <w:embedRegular r:id="rId2" w:fontKey="{CB33106F-1BA2-441B-A639-6FB4CDAE7D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7FD1AE-0886-45B4-BFD0-80E9AF91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2026-09-27T09:16:00Z</dcterms:created>
  <dcterms:modified xsi:type="dcterms:W3CDTF">2026-10-01T02:07:00Z</dcterms:modified>
</cp:coreProperties>
</file>